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77777777" w:rsidR="002720D8" w:rsidRDefault="002720D8">
      <w:pPr>
        <w:spacing w:line="240" w:lineRule="auto"/>
        <w:jc w:val="both"/>
        <w:rPr>
          <w:rFonts w:ascii="Times New Roman" w:eastAsia="Times New Roman" w:hAnsi="Times New Roman" w:cs="Times New Roman"/>
        </w:rPr>
      </w:pPr>
    </w:p>
    <w:sdt>
      <w:sdtPr>
        <w:id w:val="852189381"/>
        <w:docPartObj>
          <w:docPartGallery w:val="Table of Contents"/>
          <w:docPartUnique/>
        </w:docPartObj>
      </w:sdtPr>
      <w:sdtEndPr/>
      <w:sdtContent>
        <w:p w14:paraId="00000002" w14:textId="77777777" w:rsidR="002720D8" w:rsidRDefault="00ED2CCA">
          <w:pPr>
            <w:widowControl w:val="0"/>
            <w:tabs>
              <w:tab w:val="right" w:pos="12000"/>
            </w:tabs>
            <w:spacing w:before="60" w:after="0" w:line="240" w:lineRule="auto"/>
            <w:rPr>
              <w:b/>
              <w:bCs/>
              <w:color w:val="000000"/>
            </w:rPr>
          </w:pPr>
          <w:r>
            <w:fldChar w:fldCharType="begin"/>
          </w:r>
          <w:r>
            <w:instrText xml:space="preserve"> TOC \h \u \z \t "Heading 1,1,Heading 2,2,Heading 3,3,Heading 4,4,Heading 5,5,Heading 6,6,"</w:instrText>
          </w:r>
          <w:r>
            <w:fldChar w:fldCharType="separate"/>
          </w:r>
          <w:hyperlink w:anchor="_wlekg7jd0xl0">
            <w:r>
              <w:rPr>
                <w:b/>
                <w:bCs/>
                <w:color w:val="000000"/>
              </w:rPr>
              <w:t>1. Introduction</w:t>
            </w:r>
            <w:r>
              <w:rPr>
                <w:b/>
                <w:bCs/>
                <w:color w:val="000000"/>
              </w:rPr>
              <w:tab/>
              <w:t>2</w:t>
            </w:r>
          </w:hyperlink>
        </w:p>
        <w:p w14:paraId="00000003" w14:textId="77777777" w:rsidR="002720D8" w:rsidRDefault="00ED2CCA">
          <w:pPr>
            <w:widowControl w:val="0"/>
            <w:tabs>
              <w:tab w:val="right" w:pos="12000"/>
            </w:tabs>
            <w:spacing w:before="60" w:after="0" w:line="240" w:lineRule="auto"/>
            <w:rPr>
              <w:b/>
              <w:bCs/>
              <w:color w:val="000000"/>
            </w:rPr>
          </w:pPr>
          <w:hyperlink w:anchor="_647z8xauw65f">
            <w:r>
              <w:rPr>
                <w:b/>
                <w:bCs/>
                <w:color w:val="000000"/>
              </w:rPr>
              <w:t>2. Objectives</w:t>
            </w:r>
            <w:r>
              <w:rPr>
                <w:b/>
                <w:bCs/>
                <w:color w:val="000000"/>
              </w:rPr>
              <w:tab/>
              <w:t>2</w:t>
            </w:r>
          </w:hyperlink>
        </w:p>
        <w:p w14:paraId="00000004" w14:textId="77777777" w:rsidR="002720D8" w:rsidRDefault="00ED2CCA">
          <w:pPr>
            <w:widowControl w:val="0"/>
            <w:tabs>
              <w:tab w:val="right" w:pos="12000"/>
            </w:tabs>
            <w:spacing w:before="60" w:after="0" w:line="240" w:lineRule="auto"/>
            <w:ind w:left="720"/>
            <w:rPr>
              <w:color w:val="000000"/>
            </w:rPr>
          </w:pPr>
          <w:hyperlink w:anchor="_kdekso9cquq">
            <w:r>
              <w:rPr>
                <w:color w:val="000000"/>
              </w:rPr>
              <w:t>2.1 Technical Objectives</w:t>
            </w:r>
            <w:r>
              <w:rPr>
                <w:color w:val="000000"/>
              </w:rPr>
              <w:tab/>
              <w:t>2</w:t>
            </w:r>
          </w:hyperlink>
        </w:p>
        <w:p w14:paraId="00000005" w14:textId="77777777" w:rsidR="002720D8" w:rsidRDefault="00ED2CCA">
          <w:pPr>
            <w:widowControl w:val="0"/>
            <w:tabs>
              <w:tab w:val="right" w:pos="12000"/>
            </w:tabs>
            <w:spacing w:before="60" w:after="0" w:line="240" w:lineRule="auto"/>
            <w:ind w:left="720"/>
            <w:rPr>
              <w:color w:val="000000"/>
            </w:rPr>
          </w:pPr>
          <w:hyperlink w:anchor="_ze5u5z3xi0di">
            <w:r>
              <w:rPr>
                <w:color w:val="000000"/>
              </w:rPr>
              <w:t>2.2 Business Objectives</w:t>
            </w:r>
            <w:r>
              <w:rPr>
                <w:color w:val="000000"/>
              </w:rPr>
              <w:tab/>
              <w:t>2</w:t>
            </w:r>
          </w:hyperlink>
        </w:p>
        <w:p w14:paraId="00000006" w14:textId="77777777" w:rsidR="002720D8" w:rsidRDefault="00ED2CCA">
          <w:pPr>
            <w:widowControl w:val="0"/>
            <w:tabs>
              <w:tab w:val="right" w:pos="12000"/>
            </w:tabs>
            <w:spacing w:before="60" w:after="0" w:line="240" w:lineRule="auto"/>
            <w:rPr>
              <w:b/>
              <w:bCs/>
              <w:color w:val="000000"/>
            </w:rPr>
          </w:pPr>
          <w:hyperlink w:anchor="_lwjesbv1ujky">
            <w:r>
              <w:rPr>
                <w:b/>
                <w:bCs/>
                <w:color w:val="000000"/>
              </w:rPr>
              <w:t>3. Methodology</w:t>
            </w:r>
            <w:r>
              <w:rPr>
                <w:b/>
                <w:bCs/>
                <w:color w:val="000000"/>
              </w:rPr>
              <w:tab/>
              <w:t>2</w:t>
            </w:r>
          </w:hyperlink>
        </w:p>
        <w:p w14:paraId="00000007" w14:textId="77777777" w:rsidR="002720D8" w:rsidRDefault="00ED2CCA">
          <w:pPr>
            <w:widowControl w:val="0"/>
            <w:tabs>
              <w:tab w:val="right" w:pos="12000"/>
            </w:tabs>
            <w:spacing w:before="60" w:after="0" w:line="240" w:lineRule="auto"/>
            <w:ind w:left="720"/>
            <w:rPr>
              <w:color w:val="000000"/>
            </w:rPr>
          </w:pPr>
          <w:hyperlink w:anchor="_9w9gw9211tc7">
            <w:r>
              <w:rPr>
                <w:color w:val="000000"/>
              </w:rPr>
              <w:t>3.1 Bronze Layer Methodology (Raw Ingestion)</w:t>
            </w:r>
            <w:r>
              <w:rPr>
                <w:color w:val="000000"/>
              </w:rPr>
              <w:tab/>
              <w:t>2</w:t>
            </w:r>
          </w:hyperlink>
        </w:p>
        <w:p w14:paraId="00000008" w14:textId="77777777" w:rsidR="002720D8" w:rsidRDefault="00ED2CCA">
          <w:pPr>
            <w:widowControl w:val="0"/>
            <w:tabs>
              <w:tab w:val="right" w:pos="12000"/>
            </w:tabs>
            <w:spacing w:before="60" w:after="0" w:line="240" w:lineRule="auto"/>
            <w:ind w:left="720"/>
            <w:rPr>
              <w:color w:val="000000"/>
            </w:rPr>
          </w:pPr>
          <w:hyperlink w:anchor="_1gpy5c5t5ur5">
            <w:r>
              <w:rPr>
                <w:color w:val="000000"/>
              </w:rPr>
              <w:t>3.2 Silver Layer Methodology (Data Cleaning &amp; Standardization)</w:t>
            </w:r>
            <w:r>
              <w:rPr>
                <w:color w:val="000000"/>
              </w:rPr>
              <w:tab/>
              <w:t>2</w:t>
            </w:r>
          </w:hyperlink>
        </w:p>
        <w:p w14:paraId="00000009" w14:textId="77777777" w:rsidR="002720D8" w:rsidRDefault="00ED2CCA">
          <w:pPr>
            <w:widowControl w:val="0"/>
            <w:tabs>
              <w:tab w:val="right" w:pos="12000"/>
            </w:tabs>
            <w:spacing w:before="60" w:after="0" w:line="240" w:lineRule="auto"/>
            <w:ind w:left="720"/>
            <w:rPr>
              <w:color w:val="000000"/>
            </w:rPr>
          </w:pPr>
          <w:hyperlink w:anchor="_quj6pjlki53w">
            <w:r>
              <w:rPr>
                <w:color w:val="000000"/>
              </w:rPr>
              <w:t>3.3 Gold Layer Methodology (Business Modeling &amp; KPIs)</w:t>
            </w:r>
            <w:r>
              <w:rPr>
                <w:color w:val="000000"/>
              </w:rPr>
              <w:tab/>
              <w:t>3</w:t>
            </w:r>
          </w:hyperlink>
        </w:p>
        <w:p w14:paraId="0000000A" w14:textId="77777777" w:rsidR="002720D8" w:rsidRDefault="00ED2CCA">
          <w:pPr>
            <w:widowControl w:val="0"/>
            <w:tabs>
              <w:tab w:val="right" w:pos="12000"/>
            </w:tabs>
            <w:spacing w:before="60" w:after="0" w:line="240" w:lineRule="auto"/>
            <w:ind w:left="720"/>
            <w:rPr>
              <w:color w:val="000000"/>
            </w:rPr>
          </w:pPr>
          <w:hyperlink w:anchor="_lg0hk51z2yf3">
            <w:r>
              <w:rPr>
                <w:color w:val="000000"/>
              </w:rPr>
              <w:t>3.4 Deployment Methodology (AWS S3 Delivery)</w:t>
            </w:r>
            <w:r>
              <w:rPr>
                <w:color w:val="000000"/>
              </w:rPr>
              <w:tab/>
              <w:t>3</w:t>
            </w:r>
          </w:hyperlink>
        </w:p>
        <w:p w14:paraId="0000000B" w14:textId="77777777" w:rsidR="002720D8" w:rsidRDefault="00ED2CCA">
          <w:pPr>
            <w:widowControl w:val="0"/>
            <w:tabs>
              <w:tab w:val="right" w:pos="12000"/>
            </w:tabs>
            <w:spacing w:before="60" w:after="0" w:line="240" w:lineRule="auto"/>
            <w:rPr>
              <w:b/>
              <w:bCs/>
              <w:color w:val="000000"/>
            </w:rPr>
          </w:pPr>
          <w:hyperlink w:anchor="_r83zpa245l8e">
            <w:r>
              <w:rPr>
                <w:b/>
                <w:bCs/>
                <w:color w:val="000000"/>
              </w:rPr>
              <w:t>4. Architecture Overview</w:t>
            </w:r>
            <w:r>
              <w:rPr>
                <w:b/>
                <w:bCs/>
                <w:color w:val="000000"/>
              </w:rPr>
              <w:tab/>
              <w:t>3</w:t>
            </w:r>
          </w:hyperlink>
        </w:p>
        <w:p w14:paraId="0000000C" w14:textId="77777777" w:rsidR="002720D8" w:rsidRDefault="00ED2CCA">
          <w:pPr>
            <w:widowControl w:val="0"/>
            <w:tabs>
              <w:tab w:val="right" w:pos="12000"/>
            </w:tabs>
            <w:spacing w:before="60" w:after="0" w:line="240" w:lineRule="auto"/>
            <w:ind w:left="720"/>
            <w:rPr>
              <w:color w:val="000000"/>
            </w:rPr>
          </w:pPr>
          <w:hyperlink w:anchor="_thwh8d4fxlq9">
            <w:r>
              <w:rPr>
                <w:color w:val="000000"/>
              </w:rPr>
              <w:t>4.1 Bronze Layer:</w:t>
            </w:r>
            <w:r>
              <w:rPr>
                <w:color w:val="000000"/>
              </w:rPr>
              <w:tab/>
              <w:t>3</w:t>
            </w:r>
          </w:hyperlink>
        </w:p>
        <w:p w14:paraId="0000000D" w14:textId="77777777" w:rsidR="002720D8" w:rsidRDefault="00ED2CCA">
          <w:pPr>
            <w:widowControl w:val="0"/>
            <w:tabs>
              <w:tab w:val="right" w:pos="12000"/>
            </w:tabs>
            <w:spacing w:before="60" w:after="0" w:line="240" w:lineRule="auto"/>
            <w:ind w:left="720"/>
            <w:rPr>
              <w:color w:val="000000"/>
            </w:rPr>
          </w:pPr>
          <w:hyperlink w:anchor="_um3m7f2vqcaz">
            <w:r>
              <w:rPr>
                <w:color w:val="000000"/>
              </w:rPr>
              <w:t>4.2 Silver Layer</w:t>
            </w:r>
            <w:r>
              <w:rPr>
                <w:color w:val="000000"/>
              </w:rPr>
              <w:tab/>
              <w:t>3</w:t>
            </w:r>
          </w:hyperlink>
        </w:p>
        <w:p w14:paraId="0000000E" w14:textId="77777777" w:rsidR="002720D8" w:rsidRDefault="00ED2CCA">
          <w:pPr>
            <w:widowControl w:val="0"/>
            <w:tabs>
              <w:tab w:val="right" w:pos="12000"/>
            </w:tabs>
            <w:spacing w:before="60" w:after="0" w:line="240" w:lineRule="auto"/>
            <w:ind w:left="720"/>
            <w:rPr>
              <w:color w:val="000000"/>
            </w:rPr>
          </w:pPr>
          <w:hyperlink w:anchor="_a83a9j8dq37u">
            <w:r>
              <w:rPr>
                <w:color w:val="000000"/>
              </w:rPr>
              <w:t>4.3 Gold Layer:</w:t>
            </w:r>
            <w:r>
              <w:rPr>
                <w:color w:val="000000"/>
              </w:rPr>
              <w:tab/>
              <w:t>3</w:t>
            </w:r>
          </w:hyperlink>
        </w:p>
        <w:p w14:paraId="0000000F" w14:textId="77777777" w:rsidR="002720D8" w:rsidRDefault="00ED2CCA">
          <w:pPr>
            <w:widowControl w:val="0"/>
            <w:tabs>
              <w:tab w:val="right" w:pos="12000"/>
            </w:tabs>
            <w:spacing w:before="60" w:after="0" w:line="240" w:lineRule="auto"/>
            <w:rPr>
              <w:b/>
              <w:bCs/>
              <w:color w:val="000000"/>
            </w:rPr>
          </w:pPr>
          <w:hyperlink w:anchor="_rbf1bl9z4x2d">
            <w:r>
              <w:rPr>
                <w:b/>
                <w:bCs/>
                <w:color w:val="000000"/>
              </w:rPr>
              <w:t xml:space="preserve">5. </w:t>
            </w:r>
            <w:r>
              <w:rPr>
                <w:b/>
                <w:bCs/>
                <w:color w:val="000000"/>
              </w:rPr>
              <w:t>Implementation</w:t>
            </w:r>
            <w:r>
              <w:rPr>
                <w:b/>
                <w:bCs/>
                <w:color w:val="000000"/>
              </w:rPr>
              <w:tab/>
              <w:t>4</w:t>
            </w:r>
          </w:hyperlink>
        </w:p>
        <w:p w14:paraId="00000010" w14:textId="77777777" w:rsidR="002720D8" w:rsidRDefault="00ED2CCA">
          <w:pPr>
            <w:widowControl w:val="0"/>
            <w:tabs>
              <w:tab w:val="right" w:pos="12000"/>
            </w:tabs>
            <w:spacing w:before="60" w:after="0" w:line="240" w:lineRule="auto"/>
            <w:ind w:left="720"/>
            <w:rPr>
              <w:color w:val="000000"/>
            </w:rPr>
          </w:pPr>
          <w:hyperlink w:anchor="_gzb4zwm9sc8s">
            <w:r>
              <w:rPr>
                <w:color w:val="000000"/>
              </w:rPr>
              <w:t>5.1 Environment Setup</w:t>
            </w:r>
            <w:r>
              <w:rPr>
                <w:color w:val="000000"/>
              </w:rPr>
              <w:tab/>
              <w:t>4</w:t>
            </w:r>
          </w:hyperlink>
        </w:p>
        <w:p w14:paraId="00000011" w14:textId="77777777" w:rsidR="002720D8" w:rsidRDefault="00ED2CCA">
          <w:pPr>
            <w:widowControl w:val="0"/>
            <w:tabs>
              <w:tab w:val="right" w:pos="12000"/>
            </w:tabs>
            <w:spacing w:before="60" w:after="0" w:line="240" w:lineRule="auto"/>
            <w:ind w:left="720"/>
            <w:rPr>
              <w:color w:val="000000"/>
            </w:rPr>
          </w:pPr>
          <w:hyperlink w:anchor="_irya6abbpll7">
            <w:r>
              <w:rPr>
                <w:color w:val="000000"/>
              </w:rPr>
              <w:t>5.2 Bronze Layer Implementation</w:t>
            </w:r>
            <w:r>
              <w:rPr>
                <w:color w:val="000000"/>
              </w:rPr>
              <w:tab/>
              <w:t>4</w:t>
            </w:r>
          </w:hyperlink>
        </w:p>
        <w:p w14:paraId="00000012" w14:textId="77777777" w:rsidR="002720D8" w:rsidRDefault="00ED2CCA">
          <w:pPr>
            <w:widowControl w:val="0"/>
            <w:tabs>
              <w:tab w:val="right" w:pos="12000"/>
            </w:tabs>
            <w:spacing w:before="60" w:after="0" w:line="240" w:lineRule="auto"/>
            <w:ind w:left="720"/>
            <w:rPr>
              <w:color w:val="000000"/>
            </w:rPr>
          </w:pPr>
          <w:hyperlink w:anchor="_czqywaxsnvm0">
            <w:r>
              <w:rPr>
                <w:color w:val="000000"/>
              </w:rPr>
              <w:t>5.3 Silver Layer Implementation</w:t>
            </w:r>
            <w:r>
              <w:rPr>
                <w:color w:val="000000"/>
              </w:rPr>
              <w:tab/>
              <w:t>4</w:t>
            </w:r>
          </w:hyperlink>
        </w:p>
        <w:p w14:paraId="00000013" w14:textId="77777777" w:rsidR="002720D8" w:rsidRDefault="00ED2CCA">
          <w:pPr>
            <w:widowControl w:val="0"/>
            <w:tabs>
              <w:tab w:val="right" w:pos="12000"/>
            </w:tabs>
            <w:spacing w:before="60" w:after="0" w:line="240" w:lineRule="auto"/>
            <w:ind w:left="720"/>
            <w:rPr>
              <w:color w:val="000000"/>
            </w:rPr>
          </w:pPr>
          <w:hyperlink w:anchor="_cqhm8f88ggvc">
            <w:r>
              <w:rPr>
                <w:color w:val="000000"/>
              </w:rPr>
              <w:t>5.4 Gold Layer Implementation</w:t>
            </w:r>
            <w:r>
              <w:rPr>
                <w:color w:val="000000"/>
              </w:rPr>
              <w:tab/>
              <w:t>4</w:t>
            </w:r>
          </w:hyperlink>
        </w:p>
        <w:p w14:paraId="00000014" w14:textId="77777777" w:rsidR="002720D8" w:rsidRDefault="00ED2CCA">
          <w:pPr>
            <w:widowControl w:val="0"/>
            <w:tabs>
              <w:tab w:val="right" w:pos="12000"/>
            </w:tabs>
            <w:spacing w:before="60" w:after="0" w:line="240" w:lineRule="auto"/>
            <w:ind w:left="720"/>
            <w:rPr>
              <w:color w:val="000000"/>
            </w:rPr>
          </w:pPr>
          <w:hyperlink w:anchor="_ia2ok9k48o9n">
            <w:r>
              <w:rPr>
                <w:color w:val="000000"/>
              </w:rPr>
              <w:t>5.5 AWS S3 Deployment</w:t>
            </w:r>
            <w:r>
              <w:rPr>
                <w:color w:val="000000"/>
              </w:rPr>
              <w:tab/>
              <w:t>4</w:t>
            </w:r>
          </w:hyperlink>
        </w:p>
        <w:p w14:paraId="00000015" w14:textId="77777777" w:rsidR="002720D8" w:rsidRDefault="00ED2CCA">
          <w:pPr>
            <w:widowControl w:val="0"/>
            <w:tabs>
              <w:tab w:val="right" w:pos="12000"/>
            </w:tabs>
            <w:spacing w:before="60" w:after="0" w:line="240" w:lineRule="auto"/>
            <w:rPr>
              <w:b/>
              <w:bCs/>
              <w:color w:val="000000"/>
            </w:rPr>
          </w:pPr>
          <w:hyperlink w:anchor="_8ub9wstjnbsf">
            <w:r>
              <w:rPr>
                <w:b/>
                <w:bCs/>
                <w:color w:val="000000"/>
              </w:rPr>
              <w:t>6. Results</w:t>
            </w:r>
            <w:r>
              <w:rPr>
                <w:b/>
                <w:bCs/>
                <w:color w:val="000000"/>
              </w:rPr>
              <w:tab/>
              <w:t>4</w:t>
            </w:r>
          </w:hyperlink>
        </w:p>
        <w:p w14:paraId="00000016" w14:textId="77777777" w:rsidR="002720D8" w:rsidRDefault="00ED2CCA">
          <w:pPr>
            <w:widowControl w:val="0"/>
            <w:tabs>
              <w:tab w:val="right" w:pos="12000"/>
            </w:tabs>
            <w:spacing w:before="60" w:after="0" w:line="240" w:lineRule="auto"/>
            <w:ind w:left="720"/>
            <w:rPr>
              <w:color w:val="000000"/>
            </w:rPr>
          </w:pPr>
          <w:hyperlink w:anchor="_wqw7l36hpecn">
            <w:r>
              <w:rPr>
                <w:color w:val="000000"/>
              </w:rPr>
              <w:t>6.1 Technical Results</w:t>
            </w:r>
            <w:r>
              <w:rPr>
                <w:color w:val="000000"/>
              </w:rPr>
              <w:tab/>
              <w:t>4</w:t>
            </w:r>
          </w:hyperlink>
        </w:p>
        <w:p w14:paraId="00000017" w14:textId="77777777" w:rsidR="002720D8" w:rsidRDefault="00ED2CCA">
          <w:pPr>
            <w:widowControl w:val="0"/>
            <w:tabs>
              <w:tab w:val="right" w:pos="12000"/>
            </w:tabs>
            <w:spacing w:before="60" w:after="0" w:line="240" w:lineRule="auto"/>
            <w:ind w:left="720"/>
            <w:rPr>
              <w:color w:val="000000"/>
            </w:rPr>
          </w:pPr>
          <w:hyperlink w:anchor="_sps5rqkpj116">
            <w:r>
              <w:rPr>
                <w:color w:val="000000"/>
              </w:rPr>
              <w:t>6.2 Business Result</w:t>
            </w:r>
            <w:r>
              <w:rPr>
                <w:color w:val="000000"/>
              </w:rPr>
              <w:t>s</w:t>
            </w:r>
            <w:r>
              <w:rPr>
                <w:color w:val="000000"/>
              </w:rPr>
              <w:tab/>
              <w:t>4</w:t>
            </w:r>
          </w:hyperlink>
        </w:p>
        <w:p w14:paraId="00000018" w14:textId="77777777" w:rsidR="002720D8" w:rsidRDefault="00ED2CCA">
          <w:pPr>
            <w:widowControl w:val="0"/>
            <w:tabs>
              <w:tab w:val="right" w:pos="12000"/>
            </w:tabs>
            <w:spacing w:before="60" w:after="0" w:line="240" w:lineRule="auto"/>
            <w:rPr>
              <w:b/>
              <w:bCs/>
              <w:color w:val="000000"/>
            </w:rPr>
          </w:pPr>
          <w:hyperlink w:anchor="_q7bxj3i5pq3t">
            <w:r>
              <w:rPr>
                <w:b/>
                <w:bCs/>
                <w:color w:val="000000"/>
              </w:rPr>
              <w:t>7. Conclusion</w:t>
            </w:r>
            <w:r>
              <w:rPr>
                <w:b/>
                <w:bCs/>
                <w:color w:val="000000"/>
              </w:rPr>
              <w:tab/>
              <w:t>5</w:t>
            </w:r>
          </w:hyperlink>
          <w:r>
            <w:fldChar w:fldCharType="end"/>
          </w:r>
        </w:p>
      </w:sdtContent>
    </w:sdt>
    <w:p w14:paraId="00000019" w14:textId="77777777" w:rsidR="002720D8" w:rsidRDefault="002720D8">
      <w:pPr>
        <w:spacing w:line="240" w:lineRule="auto"/>
        <w:jc w:val="both"/>
        <w:rPr>
          <w:rFonts w:ascii="Times New Roman" w:eastAsia="Times New Roman" w:hAnsi="Times New Roman" w:cs="Times New Roman"/>
        </w:rPr>
      </w:pPr>
    </w:p>
    <w:p w14:paraId="0000001A" w14:textId="77777777" w:rsidR="002720D8" w:rsidRDefault="002720D8">
      <w:pPr>
        <w:spacing w:line="240" w:lineRule="auto"/>
        <w:jc w:val="both"/>
        <w:rPr>
          <w:rFonts w:ascii="Times New Roman" w:eastAsia="Times New Roman" w:hAnsi="Times New Roman" w:cs="Times New Roman"/>
        </w:rPr>
      </w:pPr>
    </w:p>
    <w:p w14:paraId="0000001B" w14:textId="77777777" w:rsidR="002720D8" w:rsidRDefault="002720D8">
      <w:pPr>
        <w:spacing w:line="240" w:lineRule="auto"/>
        <w:jc w:val="both"/>
        <w:rPr>
          <w:rFonts w:ascii="Times New Roman" w:eastAsia="Times New Roman" w:hAnsi="Times New Roman" w:cs="Times New Roman"/>
        </w:rPr>
      </w:pPr>
    </w:p>
    <w:p w14:paraId="0000001C" w14:textId="77777777" w:rsidR="002720D8" w:rsidRDefault="002720D8">
      <w:pPr>
        <w:spacing w:line="240" w:lineRule="auto"/>
        <w:jc w:val="both"/>
        <w:rPr>
          <w:rFonts w:ascii="Times New Roman" w:eastAsia="Times New Roman" w:hAnsi="Times New Roman" w:cs="Times New Roman"/>
        </w:rPr>
      </w:pPr>
    </w:p>
    <w:p w14:paraId="0000001D" w14:textId="77777777" w:rsidR="002720D8" w:rsidRDefault="002720D8">
      <w:pPr>
        <w:spacing w:line="240" w:lineRule="auto"/>
        <w:jc w:val="both"/>
        <w:rPr>
          <w:rFonts w:ascii="Times New Roman" w:eastAsia="Times New Roman" w:hAnsi="Times New Roman" w:cs="Times New Roman"/>
        </w:rPr>
      </w:pPr>
    </w:p>
    <w:p w14:paraId="0000001E" w14:textId="77777777" w:rsidR="002720D8" w:rsidRDefault="002720D8">
      <w:pPr>
        <w:spacing w:line="240" w:lineRule="auto"/>
        <w:jc w:val="both"/>
        <w:rPr>
          <w:rFonts w:ascii="Times New Roman" w:eastAsia="Times New Roman" w:hAnsi="Times New Roman" w:cs="Times New Roman"/>
        </w:rPr>
      </w:pPr>
    </w:p>
    <w:p w14:paraId="0000001F" w14:textId="77777777" w:rsidR="002720D8" w:rsidRDefault="002720D8">
      <w:pPr>
        <w:spacing w:line="240" w:lineRule="auto"/>
        <w:jc w:val="both"/>
        <w:rPr>
          <w:rFonts w:ascii="Times New Roman" w:eastAsia="Times New Roman" w:hAnsi="Times New Roman" w:cs="Times New Roman"/>
        </w:rPr>
      </w:pPr>
    </w:p>
    <w:p w14:paraId="00000020" w14:textId="77777777" w:rsidR="002720D8" w:rsidRDefault="002720D8">
      <w:pPr>
        <w:spacing w:line="240" w:lineRule="auto"/>
        <w:jc w:val="both"/>
        <w:rPr>
          <w:rFonts w:ascii="Times New Roman" w:eastAsia="Times New Roman" w:hAnsi="Times New Roman" w:cs="Times New Roman"/>
        </w:rPr>
      </w:pPr>
    </w:p>
    <w:p w14:paraId="00000021" w14:textId="77777777" w:rsidR="002720D8" w:rsidRDefault="002720D8">
      <w:pPr>
        <w:spacing w:line="240" w:lineRule="auto"/>
        <w:jc w:val="both"/>
        <w:rPr>
          <w:rFonts w:ascii="Times New Roman" w:eastAsia="Times New Roman" w:hAnsi="Times New Roman" w:cs="Times New Roman"/>
        </w:rPr>
      </w:pPr>
    </w:p>
    <w:p w14:paraId="00000022" w14:textId="77777777" w:rsidR="002720D8" w:rsidRDefault="002720D8">
      <w:pPr>
        <w:spacing w:line="240" w:lineRule="auto"/>
        <w:jc w:val="both"/>
        <w:rPr>
          <w:rFonts w:ascii="Times New Roman" w:eastAsia="Times New Roman" w:hAnsi="Times New Roman" w:cs="Times New Roman"/>
        </w:rPr>
      </w:pPr>
    </w:p>
    <w:p w14:paraId="00000023" w14:textId="77777777" w:rsidR="002720D8" w:rsidRDefault="002720D8">
      <w:pPr>
        <w:spacing w:line="240" w:lineRule="auto"/>
        <w:jc w:val="both"/>
        <w:rPr>
          <w:rFonts w:ascii="Times New Roman" w:eastAsia="Times New Roman" w:hAnsi="Times New Roman" w:cs="Times New Roman"/>
        </w:rPr>
      </w:pPr>
    </w:p>
    <w:p w14:paraId="00000024" w14:textId="77777777" w:rsidR="002720D8" w:rsidRDefault="002720D8">
      <w:pPr>
        <w:pStyle w:val="Heading1"/>
        <w:spacing w:line="240" w:lineRule="auto"/>
        <w:jc w:val="both"/>
        <w:rPr>
          <w:rFonts w:ascii="Times New Roman" w:eastAsia="Times New Roman" w:hAnsi="Times New Roman" w:cs="Times New Roman"/>
          <w:color w:val="000000"/>
        </w:rPr>
      </w:pPr>
      <w:bookmarkStart w:id="0" w:name="_ndtyq09r36mt" w:colFirst="0" w:colLast="0"/>
      <w:bookmarkEnd w:id="0"/>
    </w:p>
    <w:p w14:paraId="00000025"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1" w:name="_wlekg7jd0xl0" w:colFirst="0" w:colLast="0"/>
      <w:bookmarkEnd w:id="1"/>
      <w:r>
        <w:rPr>
          <w:rFonts w:ascii="Times New Roman" w:eastAsia="Times New Roman" w:hAnsi="Times New Roman" w:cs="Times New Roman"/>
          <w:color w:val="000000"/>
          <w:sz w:val="32"/>
          <w:szCs w:val="32"/>
        </w:rPr>
        <w:t>1. Introduction</w:t>
      </w:r>
    </w:p>
    <w:p w14:paraId="00000026" w14:textId="77777777" w:rsidR="002720D8" w:rsidRDefault="00ED2CCA">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describes the design and implementation of a complete data pipeline built using the Medallion Architecture, a multi-layered data engineering approach that organizes data into Bronze, Silver, and Gold layers. The solution leverages Python, Sno</w:t>
      </w:r>
      <w:r>
        <w:rPr>
          <w:rFonts w:ascii="Times New Roman" w:eastAsia="Times New Roman" w:hAnsi="Times New Roman" w:cs="Times New Roman"/>
          <w:sz w:val="24"/>
          <w:szCs w:val="24"/>
        </w:rPr>
        <w:t xml:space="preserve">wflake,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and AWS S3, ensuring a structured, scalable, and production-ready data platform.</w:t>
      </w:r>
    </w:p>
    <w:p w14:paraId="00000027"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2" w:name="_647z8xauw65f" w:colFirst="0" w:colLast="0"/>
      <w:bookmarkEnd w:id="2"/>
      <w:r>
        <w:rPr>
          <w:rFonts w:ascii="Times New Roman" w:eastAsia="Times New Roman" w:hAnsi="Times New Roman" w:cs="Times New Roman"/>
          <w:color w:val="000000"/>
          <w:sz w:val="32"/>
          <w:szCs w:val="32"/>
        </w:rPr>
        <w:t>2. Objectives</w:t>
      </w:r>
    </w:p>
    <w:p w14:paraId="00000028"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3" w:name="_kdekso9cquq" w:colFirst="0" w:colLast="0"/>
      <w:bookmarkEnd w:id="3"/>
      <w:r>
        <w:rPr>
          <w:rFonts w:ascii="Times New Roman" w:eastAsia="Times New Roman" w:hAnsi="Times New Roman" w:cs="Times New Roman"/>
          <w:color w:val="000000"/>
          <w:sz w:val="26"/>
          <w:szCs w:val="26"/>
        </w:rPr>
        <w:t>2.1 Technical Objectives</w:t>
      </w:r>
    </w:p>
    <w:p w14:paraId="00000029"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Establish an end-to-end data pipeline based on the Medallion Architecture.</w:t>
      </w:r>
    </w:p>
    <w:p w14:paraId="0000002A"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 ingestion of datasets into Snowflake using Python.</w:t>
      </w:r>
    </w:p>
    <w:p w14:paraId="0000002B"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Programmatically set up Snowflake warehouse, database, schemas, and tables.</w:t>
      </w:r>
    </w:p>
    <w:p w14:paraId="0000002C"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all raw data in the Bronze layer without transformation.</w:t>
      </w:r>
    </w:p>
    <w:p w14:paraId="0000002D"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Build reliable and reusable transformations in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xml:space="preserve"> fo</w:t>
      </w:r>
      <w:r>
        <w:rPr>
          <w:rFonts w:ascii="Times New Roman" w:eastAsia="Times New Roman" w:hAnsi="Times New Roman" w:cs="Times New Roman"/>
          <w:sz w:val="24"/>
          <w:szCs w:val="24"/>
        </w:rPr>
        <w:t>r the Silver and Gold layers.</w:t>
      </w:r>
    </w:p>
    <w:p w14:paraId="0000002E"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Produce clean and analytics-ready datasets with validated quality.</w:t>
      </w:r>
    </w:p>
    <w:p w14:paraId="0000002F" w14:textId="77777777" w:rsidR="002720D8" w:rsidRDefault="00ED2CCA">
      <w:pPr>
        <w:numPr>
          <w:ilvl w:val="0"/>
          <w:numId w:val="2"/>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Generate business KPIs, aggregated views, and data marts in the Gold layer.</w:t>
      </w:r>
    </w:p>
    <w:p w14:paraId="00000030" w14:textId="77777777" w:rsidR="002720D8" w:rsidRDefault="00ED2CCA">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Deploy final curated outputs to AWS S3 for wider consumption.</w:t>
      </w:r>
    </w:p>
    <w:p w14:paraId="00000031"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4" w:name="_ze5u5z3xi0di" w:colFirst="0" w:colLast="0"/>
      <w:bookmarkEnd w:id="4"/>
      <w:r>
        <w:rPr>
          <w:rFonts w:ascii="Times New Roman" w:eastAsia="Times New Roman" w:hAnsi="Times New Roman" w:cs="Times New Roman"/>
          <w:color w:val="000000"/>
          <w:sz w:val="26"/>
          <w:szCs w:val="26"/>
        </w:rPr>
        <w:t>2.2 Business Objectives</w:t>
      </w:r>
    </w:p>
    <w:p w14:paraId="00000032" w14:textId="77777777" w:rsidR="002720D8" w:rsidRDefault="00ED2CCA">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Improve data accuracy and trust across reporting systems.</w:t>
      </w:r>
    </w:p>
    <w:p w14:paraId="00000033" w14:textId="77777777" w:rsidR="002720D8" w:rsidRDefault="00ED2CCA">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Ensure consistent, reproducible transformations and lineage.</w:t>
      </w:r>
    </w:p>
    <w:p w14:paraId="00000034" w14:textId="77777777" w:rsidR="002720D8" w:rsidRDefault="00ED2CCA">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Enable rapid delivery of high-quality data for analytics teams.</w:t>
      </w:r>
    </w:p>
    <w:p w14:paraId="00000035" w14:textId="77777777" w:rsidR="002720D8" w:rsidRDefault="00ED2CCA">
      <w:pPr>
        <w:numPr>
          <w:ilvl w:val="0"/>
          <w:numId w:val="3"/>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Reduce manual processing time and operational ove</w:t>
      </w:r>
      <w:r>
        <w:rPr>
          <w:rFonts w:ascii="Times New Roman" w:eastAsia="Times New Roman" w:hAnsi="Times New Roman" w:cs="Times New Roman"/>
          <w:sz w:val="24"/>
          <w:szCs w:val="24"/>
        </w:rPr>
        <w:t>rhead.</w:t>
      </w:r>
    </w:p>
    <w:p w14:paraId="00000036" w14:textId="77777777" w:rsidR="002720D8" w:rsidRDefault="00ED2CCA">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 a scalable foundation for future datasets and business logic.</w:t>
      </w:r>
    </w:p>
    <w:p w14:paraId="00000037"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5" w:name="_lwjesbv1ujky" w:colFirst="0" w:colLast="0"/>
      <w:bookmarkEnd w:id="5"/>
      <w:r>
        <w:rPr>
          <w:rFonts w:ascii="Times New Roman" w:eastAsia="Times New Roman" w:hAnsi="Times New Roman" w:cs="Times New Roman"/>
          <w:color w:val="000000"/>
          <w:sz w:val="32"/>
          <w:szCs w:val="32"/>
        </w:rPr>
        <w:t>3. Methodology</w:t>
      </w:r>
    </w:p>
    <w:p w14:paraId="00000038"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6" w:name="_9w9gw9211tc7" w:colFirst="0" w:colLast="0"/>
      <w:bookmarkEnd w:id="6"/>
      <w:r>
        <w:rPr>
          <w:rFonts w:ascii="Times New Roman" w:eastAsia="Times New Roman" w:hAnsi="Times New Roman" w:cs="Times New Roman"/>
          <w:color w:val="000000"/>
          <w:sz w:val="26"/>
          <w:szCs w:val="26"/>
        </w:rPr>
        <w:t>3.1 Bronze Layer Methodology (Raw Ingestion)</w:t>
      </w:r>
    </w:p>
    <w:p w14:paraId="00000039" w14:textId="77777777" w:rsidR="002720D8" w:rsidRDefault="00ED2CCA">
      <w:pPr>
        <w:spacing w:line="24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Raw data is ingested exactly as received, without modifications. Python handles file ingestion and loading into Snowflake</w:t>
      </w:r>
      <w:r>
        <w:rPr>
          <w:rFonts w:ascii="Times New Roman" w:eastAsia="Times New Roman" w:hAnsi="Times New Roman" w:cs="Times New Roman"/>
          <w:sz w:val="24"/>
          <w:szCs w:val="24"/>
        </w:rPr>
        <w:t xml:space="preserve">. Required Snowflake resources such as warehouse, schemas, and tables are created dynamically. Raw files are stored in Snowflake </w:t>
      </w:r>
      <w:proofErr w:type="gramStart"/>
      <w:r>
        <w:rPr>
          <w:rFonts w:ascii="Times New Roman" w:eastAsia="Times New Roman" w:hAnsi="Times New Roman" w:cs="Times New Roman"/>
          <w:sz w:val="24"/>
          <w:szCs w:val="24"/>
        </w:rPr>
        <w:t>stages</w:t>
      </w:r>
      <w:proofErr w:type="gramEnd"/>
      <w:r>
        <w:rPr>
          <w:rFonts w:ascii="Times New Roman" w:eastAsia="Times New Roman" w:hAnsi="Times New Roman" w:cs="Times New Roman"/>
          <w:sz w:val="24"/>
          <w:szCs w:val="24"/>
        </w:rPr>
        <w:t xml:space="preserve"> before being loaded into Bronze tables.</w:t>
      </w:r>
    </w:p>
    <w:p w14:paraId="0000003A"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7" w:name="_1gpy5c5t5ur5" w:colFirst="0" w:colLast="0"/>
      <w:bookmarkEnd w:id="7"/>
      <w:r>
        <w:rPr>
          <w:rFonts w:ascii="Times New Roman" w:eastAsia="Times New Roman" w:hAnsi="Times New Roman" w:cs="Times New Roman"/>
          <w:color w:val="000000"/>
          <w:sz w:val="26"/>
          <w:szCs w:val="26"/>
        </w:rPr>
        <w:t>3.2 Silver Layer Methodology (Data Cleaning &amp; Standardization)</w:t>
      </w:r>
    </w:p>
    <w:p w14:paraId="0000003B" w14:textId="77777777" w:rsidR="002720D8" w:rsidRDefault="00ED2CCA">
      <w:pPr>
        <w:spacing w:line="240" w:lineRule="auto"/>
        <w:ind w:firstLine="7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is used to cl</w:t>
      </w:r>
      <w:r>
        <w:rPr>
          <w:rFonts w:ascii="Times New Roman" w:eastAsia="Times New Roman" w:hAnsi="Times New Roman" w:cs="Times New Roman"/>
          <w:sz w:val="24"/>
          <w:szCs w:val="24"/>
        </w:rPr>
        <w:t xml:space="preserve">ean, standardize, and validate data. This layer applies conventions, fixes data types, removes duplicates, and ensures consistent formatting. </w:t>
      </w: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tests provide data quality checks.</w:t>
      </w:r>
    </w:p>
    <w:p w14:paraId="0000003C" w14:textId="77777777" w:rsidR="002720D8" w:rsidRDefault="002720D8">
      <w:pPr>
        <w:spacing w:line="240" w:lineRule="auto"/>
        <w:jc w:val="both"/>
        <w:rPr>
          <w:rFonts w:ascii="Times New Roman" w:eastAsia="Times New Roman" w:hAnsi="Times New Roman" w:cs="Times New Roman"/>
        </w:rPr>
      </w:pPr>
    </w:p>
    <w:p w14:paraId="0000003D" w14:textId="77777777" w:rsidR="002720D8" w:rsidRDefault="002720D8">
      <w:pPr>
        <w:spacing w:line="240" w:lineRule="auto"/>
        <w:jc w:val="both"/>
        <w:rPr>
          <w:rFonts w:ascii="Times New Roman" w:eastAsia="Times New Roman" w:hAnsi="Times New Roman" w:cs="Times New Roman"/>
        </w:rPr>
      </w:pPr>
    </w:p>
    <w:p w14:paraId="0000003E"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8" w:name="_quj6pjlki53w" w:colFirst="0" w:colLast="0"/>
      <w:bookmarkEnd w:id="8"/>
      <w:r>
        <w:rPr>
          <w:rFonts w:ascii="Times New Roman" w:eastAsia="Times New Roman" w:hAnsi="Times New Roman" w:cs="Times New Roman"/>
          <w:color w:val="000000"/>
          <w:sz w:val="26"/>
          <w:szCs w:val="26"/>
        </w:rPr>
        <w:lastRenderedPageBreak/>
        <w:t>3.3 Gold Layer Methodology (Business Modeling &amp; KPIs)</w:t>
      </w:r>
    </w:p>
    <w:p w14:paraId="0000003F" w14:textId="77777777" w:rsidR="002720D8" w:rsidRDefault="00ED2CCA">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layer provides</w:t>
      </w:r>
      <w:r>
        <w:rPr>
          <w:rFonts w:ascii="Times New Roman" w:eastAsia="Times New Roman" w:hAnsi="Times New Roman" w:cs="Times New Roman"/>
          <w:sz w:val="24"/>
          <w:szCs w:val="24"/>
        </w:rPr>
        <w:t xml:space="preserve"> business-ready outputs. </w:t>
      </w: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builds aggregated views, KPIs, and domain-specific marts suitable for dashboards and analytics.</w:t>
      </w:r>
    </w:p>
    <w:p w14:paraId="00000040"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9" w:name="_lg0hk51z2yf3" w:colFirst="0" w:colLast="0"/>
      <w:bookmarkEnd w:id="9"/>
      <w:r>
        <w:rPr>
          <w:rFonts w:ascii="Times New Roman" w:eastAsia="Times New Roman" w:hAnsi="Times New Roman" w:cs="Times New Roman"/>
          <w:color w:val="000000"/>
          <w:sz w:val="26"/>
          <w:szCs w:val="26"/>
        </w:rPr>
        <w:t>3.4 Deployment Methodology (AWS S3 Delivery)</w:t>
      </w:r>
    </w:p>
    <w:p w14:paraId="00000041" w14:textId="71120CB9" w:rsidR="002720D8" w:rsidRDefault="00ED2CCA">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Final curated outputs from the Gold layer are exported to AWS S3 for consumption by do</w:t>
      </w:r>
      <w:r>
        <w:rPr>
          <w:rFonts w:ascii="Times New Roman" w:eastAsia="Times New Roman" w:hAnsi="Times New Roman" w:cs="Times New Roman"/>
          <w:sz w:val="24"/>
          <w:szCs w:val="24"/>
        </w:rPr>
        <w:t>wnstream systems, BI tools, or external stakeholders.</w:t>
      </w:r>
    </w:p>
    <w:p w14:paraId="5C7EFD48" w14:textId="1A339065" w:rsidR="007C27B2" w:rsidRDefault="007C27B2">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7373740" wp14:editId="005D1AFC">
            <wp:extent cx="4295775" cy="1800347"/>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ws.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00717" cy="1802418"/>
                    </a:xfrm>
                    <a:prstGeom prst="rect">
                      <a:avLst/>
                    </a:prstGeom>
                  </pic:spPr>
                </pic:pic>
              </a:graphicData>
            </a:graphic>
          </wp:inline>
        </w:drawing>
      </w:r>
    </w:p>
    <w:p w14:paraId="00000042"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10" w:name="_r83zpa245l8e" w:colFirst="0" w:colLast="0"/>
      <w:bookmarkEnd w:id="10"/>
      <w:r>
        <w:rPr>
          <w:rFonts w:ascii="Times New Roman" w:eastAsia="Times New Roman" w:hAnsi="Times New Roman" w:cs="Times New Roman"/>
          <w:color w:val="000000"/>
          <w:sz w:val="32"/>
          <w:szCs w:val="32"/>
        </w:rPr>
        <w:t>4. Architecture Overview</w:t>
      </w:r>
    </w:p>
    <w:p w14:paraId="00000043" w14:textId="77777777" w:rsidR="002720D8" w:rsidRDefault="00ED2CCA">
      <w:pPr>
        <w:pStyle w:val="Heading3"/>
        <w:rPr>
          <w:rFonts w:ascii="Times New Roman" w:eastAsia="Times New Roman" w:hAnsi="Times New Roman" w:cs="Times New Roman"/>
          <w:color w:val="000000"/>
          <w:sz w:val="26"/>
          <w:szCs w:val="26"/>
        </w:rPr>
      </w:pPr>
      <w:bookmarkStart w:id="11" w:name="_thwh8d4fxlq9" w:colFirst="0" w:colLast="0"/>
      <w:bookmarkEnd w:id="11"/>
      <w:r>
        <w:rPr>
          <w:rFonts w:ascii="Times New Roman" w:eastAsia="Times New Roman" w:hAnsi="Times New Roman" w:cs="Times New Roman"/>
          <w:color w:val="000000"/>
          <w:sz w:val="26"/>
          <w:szCs w:val="26"/>
        </w:rPr>
        <w:t>4.1 Bronze Layer:</w:t>
      </w:r>
    </w:p>
    <w:p w14:paraId="00000044" w14:textId="77777777" w:rsidR="002720D8" w:rsidRDefault="00ED2CCA">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Bronze Layer serves as the foundational storage zone of the Medallion Architecture, capturing data exactly as it arrives from source systems. This layer ensures full data fidelity, retaining all fields, formats, and records including inconsistencies or</w:t>
      </w:r>
      <w:r>
        <w:rPr>
          <w:rFonts w:ascii="Times New Roman" w:eastAsia="Times New Roman" w:hAnsi="Times New Roman" w:cs="Times New Roman"/>
          <w:sz w:val="24"/>
          <w:szCs w:val="24"/>
        </w:rPr>
        <w:t xml:space="preserve"> irregularities. By storing data in its original state, the Bronze Layer supports traceability, auditability, and reproducibility of downstream analytics.</w:t>
      </w:r>
    </w:p>
    <w:p w14:paraId="00000045" w14:textId="77777777" w:rsidR="002720D8"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project, the Bronze Layer stores raw files ingested through automated Python scripts that load source datasets directly into Snowflake without modification. These datasets may include CSV, JSON, Parquet, or other file formats. No cleaning, transfor</w:t>
      </w:r>
      <w:r>
        <w:rPr>
          <w:rFonts w:ascii="Times New Roman" w:eastAsia="Times New Roman" w:hAnsi="Times New Roman" w:cs="Times New Roman"/>
          <w:sz w:val="24"/>
          <w:szCs w:val="24"/>
        </w:rPr>
        <w:t>mation, or filtering is performed at this stage. The Bronze Layer provides a trustworthy baseline for subsequent processing steps, ensuring all transformations are transparent and reversible.</w:t>
      </w:r>
    </w:p>
    <w:p w14:paraId="00000046" w14:textId="77777777" w:rsidR="002720D8" w:rsidRDefault="00ED2CCA">
      <w:pPr>
        <w:pStyle w:val="Heading3"/>
        <w:spacing w:before="240" w:after="240" w:line="240" w:lineRule="auto"/>
        <w:jc w:val="both"/>
        <w:rPr>
          <w:rFonts w:ascii="Times New Roman" w:eastAsia="Times New Roman" w:hAnsi="Times New Roman" w:cs="Times New Roman"/>
          <w:color w:val="000000"/>
          <w:sz w:val="26"/>
          <w:szCs w:val="26"/>
        </w:rPr>
      </w:pPr>
      <w:bookmarkStart w:id="12" w:name="_um3m7f2vqcaz" w:colFirst="0" w:colLast="0"/>
      <w:bookmarkEnd w:id="12"/>
      <w:r>
        <w:rPr>
          <w:rFonts w:ascii="Times New Roman" w:eastAsia="Times New Roman" w:hAnsi="Times New Roman" w:cs="Times New Roman"/>
          <w:color w:val="000000"/>
          <w:sz w:val="26"/>
          <w:szCs w:val="26"/>
        </w:rPr>
        <w:t>4.2 Silver Layer</w:t>
      </w:r>
    </w:p>
    <w:p w14:paraId="00000047" w14:textId="77777777" w:rsidR="002720D8" w:rsidRDefault="00ED2CC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Silver Layer</w:t>
      </w:r>
      <w:r>
        <w:rPr>
          <w:rFonts w:ascii="Times New Roman" w:eastAsia="Times New Roman" w:hAnsi="Times New Roman" w:cs="Times New Roman"/>
          <w:sz w:val="24"/>
          <w:szCs w:val="24"/>
        </w:rPr>
        <w:t xml:space="preserve"> represents the standardized an</w:t>
      </w:r>
      <w:r>
        <w:rPr>
          <w:rFonts w:ascii="Times New Roman" w:eastAsia="Times New Roman" w:hAnsi="Times New Roman" w:cs="Times New Roman"/>
          <w:sz w:val="24"/>
          <w:szCs w:val="24"/>
        </w:rPr>
        <w:t xml:space="preserve">d enhanced version of the Bronze data. This layer focuses on refining datasets into consistent, analysis-ready tables. Transformations applied in the Silver Layer include </w:t>
      </w:r>
      <w:r>
        <w:rPr>
          <w:rFonts w:ascii="Times New Roman" w:eastAsia="Times New Roman" w:hAnsi="Times New Roman" w:cs="Times New Roman"/>
          <w:b/>
          <w:bCs/>
          <w:sz w:val="24"/>
          <w:szCs w:val="24"/>
        </w:rPr>
        <w:t>data cleaning, type casting, deduplication, error handling, normalization, and alignm</w:t>
      </w:r>
      <w:r>
        <w:rPr>
          <w:rFonts w:ascii="Times New Roman" w:eastAsia="Times New Roman" w:hAnsi="Times New Roman" w:cs="Times New Roman"/>
          <w:b/>
          <w:bCs/>
          <w:sz w:val="24"/>
          <w:szCs w:val="24"/>
        </w:rPr>
        <w:t>ent to business naming conventions</w:t>
      </w:r>
      <w:r>
        <w:rPr>
          <w:rFonts w:ascii="Times New Roman" w:eastAsia="Times New Roman" w:hAnsi="Times New Roman" w:cs="Times New Roman"/>
          <w:sz w:val="24"/>
          <w:szCs w:val="24"/>
        </w:rPr>
        <w:t>.</w:t>
      </w:r>
    </w:p>
    <w:p w14:paraId="00000048" w14:textId="0790D858" w:rsidR="002720D8"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architecture,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xml:space="preserve"> (Data Build Tool) is used to manage all transformations applied to Silver datasets. </w:t>
      </w: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models ensure repeatability, version control, and clear lineage, enabling data engineers and analysts to u</w:t>
      </w:r>
      <w:r>
        <w:rPr>
          <w:rFonts w:ascii="Times New Roman" w:eastAsia="Times New Roman" w:hAnsi="Times New Roman" w:cs="Times New Roman"/>
          <w:sz w:val="24"/>
          <w:szCs w:val="24"/>
        </w:rPr>
        <w:t xml:space="preserve">nderstand how each field was produced. Data in the Silver Layer is accurate, validated, and formatted to support analytical requirements. This layer </w:t>
      </w:r>
      <w:r>
        <w:rPr>
          <w:rFonts w:ascii="Times New Roman" w:eastAsia="Times New Roman" w:hAnsi="Times New Roman" w:cs="Times New Roman"/>
          <w:sz w:val="24"/>
          <w:szCs w:val="24"/>
        </w:rPr>
        <w:lastRenderedPageBreak/>
        <w:t>eliminates inconsistencies present in the raw data, making it suitable for more advanced business consumpti</w:t>
      </w:r>
      <w:r>
        <w:rPr>
          <w:rFonts w:ascii="Times New Roman" w:eastAsia="Times New Roman" w:hAnsi="Times New Roman" w:cs="Times New Roman"/>
          <w:sz w:val="24"/>
          <w:szCs w:val="24"/>
        </w:rPr>
        <w:t>on in the Gold Layer.</w:t>
      </w:r>
    </w:p>
    <w:p w14:paraId="5AC850A7" w14:textId="7519F320" w:rsidR="00ED2CCA"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F90F7A0" wp14:editId="7AC1BC91">
            <wp:extent cx="5505185" cy="311450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lver.PNG"/>
                    <pic:cNvPicPr/>
                  </pic:nvPicPr>
                  <pic:blipFill>
                    <a:blip r:embed="rId6">
                      <a:extLst>
                        <a:ext uri="{28A0092B-C50C-407E-A947-70E740481C1C}">
                          <a14:useLocalDpi xmlns:a14="http://schemas.microsoft.com/office/drawing/2010/main" val="0"/>
                        </a:ext>
                      </a:extLst>
                    </a:blip>
                    <a:stretch>
                      <a:fillRect/>
                    </a:stretch>
                  </pic:blipFill>
                  <pic:spPr>
                    <a:xfrm>
                      <a:off x="0" y="0"/>
                      <a:ext cx="5532815" cy="3130138"/>
                    </a:xfrm>
                    <a:prstGeom prst="rect">
                      <a:avLst/>
                    </a:prstGeom>
                  </pic:spPr>
                </pic:pic>
              </a:graphicData>
            </a:graphic>
          </wp:inline>
        </w:drawing>
      </w:r>
      <w:bookmarkStart w:id="13" w:name="_GoBack"/>
      <w:bookmarkEnd w:id="13"/>
    </w:p>
    <w:p w14:paraId="00000049" w14:textId="77777777" w:rsidR="002720D8" w:rsidRDefault="00ED2CCA">
      <w:pPr>
        <w:pStyle w:val="Heading3"/>
        <w:spacing w:before="240" w:after="240" w:line="240" w:lineRule="auto"/>
        <w:jc w:val="both"/>
        <w:rPr>
          <w:rFonts w:ascii="Times New Roman" w:eastAsia="Times New Roman" w:hAnsi="Times New Roman" w:cs="Times New Roman"/>
          <w:color w:val="000000"/>
          <w:sz w:val="26"/>
          <w:szCs w:val="26"/>
        </w:rPr>
      </w:pPr>
      <w:bookmarkStart w:id="14" w:name="_a83a9j8dq37u" w:colFirst="0" w:colLast="0"/>
      <w:bookmarkEnd w:id="14"/>
      <w:r>
        <w:rPr>
          <w:rFonts w:ascii="Times New Roman" w:eastAsia="Times New Roman" w:hAnsi="Times New Roman" w:cs="Times New Roman"/>
          <w:color w:val="000000"/>
          <w:sz w:val="26"/>
          <w:szCs w:val="26"/>
        </w:rPr>
        <w:t>4.3 Gold Layer:</w:t>
      </w:r>
    </w:p>
    <w:p w14:paraId="0000004A" w14:textId="08F3D0D2" w:rsidR="002720D8" w:rsidRDefault="00ED2CC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Gold Layer</w:t>
      </w:r>
      <w:r>
        <w:rPr>
          <w:rFonts w:ascii="Times New Roman" w:eastAsia="Times New Roman" w:hAnsi="Times New Roman" w:cs="Times New Roman"/>
          <w:sz w:val="24"/>
          <w:szCs w:val="24"/>
        </w:rPr>
        <w:t xml:space="preserve"> contains highly curated, business-ready datasets designed specifically for reporting, </w:t>
      </w:r>
      <w:proofErr w:type="spellStart"/>
      <w:r>
        <w:rPr>
          <w:rFonts w:ascii="Times New Roman" w:eastAsia="Times New Roman" w:hAnsi="Times New Roman" w:cs="Times New Roman"/>
          <w:sz w:val="24"/>
          <w:szCs w:val="24"/>
        </w:rPr>
        <w:t>dashboarding</w:t>
      </w:r>
      <w:proofErr w:type="spellEnd"/>
      <w:r>
        <w:rPr>
          <w:rFonts w:ascii="Times New Roman" w:eastAsia="Times New Roman" w:hAnsi="Times New Roman" w:cs="Times New Roman"/>
          <w:sz w:val="24"/>
          <w:szCs w:val="24"/>
        </w:rPr>
        <w:t xml:space="preserve">, and decision-making. This layer includes </w:t>
      </w:r>
      <w:r>
        <w:rPr>
          <w:rFonts w:ascii="Times New Roman" w:eastAsia="Times New Roman" w:hAnsi="Times New Roman" w:cs="Times New Roman"/>
          <w:b/>
          <w:bCs/>
          <w:sz w:val="24"/>
          <w:szCs w:val="24"/>
        </w:rPr>
        <w:t>aggregated tables, business metrics, KPIs, analytical summarie</w:t>
      </w:r>
      <w:r>
        <w:rPr>
          <w:rFonts w:ascii="Times New Roman" w:eastAsia="Times New Roman" w:hAnsi="Times New Roman" w:cs="Times New Roman"/>
          <w:b/>
          <w:bCs/>
          <w:sz w:val="24"/>
          <w:szCs w:val="24"/>
        </w:rPr>
        <w:t>s, and domain-specific data marts</w:t>
      </w:r>
      <w:r>
        <w:rPr>
          <w:rFonts w:ascii="Times New Roman" w:eastAsia="Times New Roman" w:hAnsi="Times New Roman" w:cs="Times New Roman"/>
          <w:sz w:val="24"/>
          <w:szCs w:val="24"/>
        </w:rPr>
        <w:t>.</w:t>
      </w:r>
    </w:p>
    <w:p w14:paraId="0C9EC117" w14:textId="77777777" w:rsidR="007C27B2" w:rsidRDefault="007C27B2">
      <w:pPr>
        <w:spacing w:before="240" w:after="240" w:line="240" w:lineRule="auto"/>
        <w:ind w:firstLine="720"/>
        <w:jc w:val="both"/>
        <w:rPr>
          <w:rFonts w:ascii="Times New Roman" w:eastAsia="Times New Roman" w:hAnsi="Times New Roman" w:cs="Times New Roman"/>
          <w:sz w:val="24"/>
          <w:szCs w:val="24"/>
        </w:rPr>
      </w:pPr>
    </w:p>
    <w:p w14:paraId="0000004B" w14:textId="6FD90C00" w:rsidR="002720D8"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Building on the structured and validated data from the Silver Layer, the Gold Layer applies transformations aligned with business logic and strategic goals. Examples include customer acquisition metrics, revenue trends, s</w:t>
      </w:r>
      <w:r>
        <w:rPr>
          <w:rFonts w:ascii="Times New Roman" w:eastAsia="Times New Roman" w:hAnsi="Times New Roman" w:cs="Times New Roman"/>
          <w:sz w:val="24"/>
          <w:szCs w:val="24"/>
        </w:rPr>
        <w:t>ales conversions, performance insights, and time-based analytics. The Gold Layer is optimized for ease of use by analysts, BI tools, and executives. It represents the final, refined view of the organization’s data, ready for consumption across the enterpri</w:t>
      </w:r>
      <w:r>
        <w:rPr>
          <w:rFonts w:ascii="Times New Roman" w:eastAsia="Times New Roman" w:hAnsi="Times New Roman" w:cs="Times New Roman"/>
          <w:sz w:val="24"/>
          <w:szCs w:val="24"/>
        </w:rPr>
        <w:t>se</w:t>
      </w:r>
      <w:r w:rsidR="007C27B2">
        <w:rPr>
          <w:rFonts w:ascii="Times New Roman" w:eastAsia="Times New Roman" w:hAnsi="Times New Roman" w:cs="Times New Roman"/>
          <w:sz w:val="24"/>
          <w:szCs w:val="24"/>
        </w:rPr>
        <w:t>.</w:t>
      </w:r>
    </w:p>
    <w:p w14:paraId="74AE44D2" w14:textId="15CB27C3" w:rsidR="007C27B2" w:rsidRDefault="007C27B2">
      <w:pPr>
        <w:spacing w:before="240" w:after="240" w:line="240" w:lineRule="auto"/>
        <w:jc w:val="both"/>
      </w:pPr>
      <w:r>
        <w:rPr>
          <w:noProof/>
          <w:lang w:val="en-US"/>
        </w:rPr>
        <w:lastRenderedPageBreak/>
        <w:drawing>
          <wp:inline distT="0" distB="0" distL="0" distR="0" wp14:anchorId="2DC1331E" wp14:editId="60853368">
            <wp:extent cx="5486400" cy="2253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stics.PNG"/>
                    <pic:cNvPicPr/>
                  </pic:nvPicPr>
                  <pic:blipFill>
                    <a:blip r:embed="rId7">
                      <a:extLst>
                        <a:ext uri="{28A0092B-C50C-407E-A947-70E740481C1C}">
                          <a14:useLocalDpi xmlns:a14="http://schemas.microsoft.com/office/drawing/2010/main" val="0"/>
                        </a:ext>
                      </a:extLst>
                    </a:blip>
                    <a:stretch>
                      <a:fillRect/>
                    </a:stretch>
                  </pic:blipFill>
                  <pic:spPr>
                    <a:xfrm>
                      <a:off x="0" y="0"/>
                      <a:ext cx="5486400" cy="2253615"/>
                    </a:xfrm>
                    <a:prstGeom prst="rect">
                      <a:avLst/>
                    </a:prstGeom>
                  </pic:spPr>
                </pic:pic>
              </a:graphicData>
            </a:graphic>
          </wp:inline>
        </w:drawing>
      </w:r>
    </w:p>
    <w:p w14:paraId="0000004C"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15" w:name="_rbf1bl9z4x2d" w:colFirst="0" w:colLast="0"/>
      <w:bookmarkEnd w:id="15"/>
      <w:r>
        <w:rPr>
          <w:rFonts w:ascii="Times New Roman" w:eastAsia="Times New Roman" w:hAnsi="Times New Roman" w:cs="Times New Roman"/>
          <w:color w:val="000000"/>
          <w:sz w:val="32"/>
          <w:szCs w:val="32"/>
        </w:rPr>
        <w:t>5. Implementation</w:t>
      </w:r>
    </w:p>
    <w:p w14:paraId="0000004D"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16" w:name="_gzb4zwm9sc8s" w:colFirst="0" w:colLast="0"/>
      <w:bookmarkEnd w:id="16"/>
      <w:r>
        <w:rPr>
          <w:rFonts w:ascii="Times New Roman" w:eastAsia="Times New Roman" w:hAnsi="Times New Roman" w:cs="Times New Roman"/>
          <w:color w:val="000000"/>
          <w:sz w:val="26"/>
          <w:szCs w:val="26"/>
        </w:rPr>
        <w:t>5.1 Environment Setup</w:t>
      </w:r>
    </w:p>
    <w:p w14:paraId="0000004E" w14:textId="77777777" w:rsidR="002720D8" w:rsidRDefault="00ED2CCA">
      <w:pPr>
        <w:spacing w:line="24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 xml:space="preserve">Includes Snowflake configuration for warehouse, database, schemas, stages, and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xml:space="preserve"> project setup.</w:t>
      </w:r>
    </w:p>
    <w:p w14:paraId="0000004F"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17" w:name="_irya6abbpll7" w:colFirst="0" w:colLast="0"/>
      <w:bookmarkEnd w:id="17"/>
      <w:r>
        <w:rPr>
          <w:rFonts w:ascii="Times New Roman" w:eastAsia="Times New Roman" w:hAnsi="Times New Roman" w:cs="Times New Roman"/>
          <w:color w:val="000000"/>
          <w:sz w:val="26"/>
          <w:szCs w:val="26"/>
        </w:rPr>
        <w:t>5.2 Bronze Layer Implementation</w:t>
      </w:r>
    </w:p>
    <w:p w14:paraId="00000050" w14:textId="77777777" w:rsidR="002720D8" w:rsidRDefault="00ED2CCA">
      <w:pPr>
        <w:spacing w:line="24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Python automates loading of raw files into Snowflake Bronze tables.</w:t>
      </w:r>
    </w:p>
    <w:p w14:paraId="00000051"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18" w:name="_czqywaxsnvm0" w:colFirst="0" w:colLast="0"/>
      <w:bookmarkEnd w:id="18"/>
      <w:r>
        <w:rPr>
          <w:rFonts w:ascii="Times New Roman" w:eastAsia="Times New Roman" w:hAnsi="Times New Roman" w:cs="Times New Roman"/>
          <w:color w:val="000000"/>
          <w:sz w:val="26"/>
          <w:szCs w:val="26"/>
        </w:rPr>
        <w:t>5.3 Silver Laye</w:t>
      </w:r>
      <w:r>
        <w:rPr>
          <w:rFonts w:ascii="Times New Roman" w:eastAsia="Times New Roman" w:hAnsi="Times New Roman" w:cs="Times New Roman"/>
          <w:color w:val="000000"/>
          <w:sz w:val="26"/>
          <w:szCs w:val="26"/>
        </w:rPr>
        <w:t>r Implementation</w:t>
      </w:r>
    </w:p>
    <w:p w14:paraId="00000052" w14:textId="77777777" w:rsidR="002720D8" w:rsidRDefault="00ED2CCA">
      <w:pPr>
        <w:spacing w:line="240" w:lineRule="auto"/>
        <w:ind w:firstLine="7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cleans and standardizes Bronze data into analytical structures, backed by tests ensuring reliability.</w:t>
      </w:r>
    </w:p>
    <w:p w14:paraId="00000053"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19" w:name="_cqhm8f88ggvc" w:colFirst="0" w:colLast="0"/>
      <w:bookmarkEnd w:id="19"/>
      <w:r>
        <w:rPr>
          <w:rFonts w:ascii="Times New Roman" w:eastAsia="Times New Roman" w:hAnsi="Times New Roman" w:cs="Times New Roman"/>
          <w:color w:val="000000"/>
          <w:sz w:val="26"/>
          <w:szCs w:val="26"/>
        </w:rPr>
        <w:t>5.4 Gold Layer Implementation</w:t>
      </w:r>
    </w:p>
    <w:p w14:paraId="00000054" w14:textId="77777777" w:rsidR="002720D8" w:rsidRDefault="00ED2CCA">
      <w:pPr>
        <w:spacing w:line="240" w:lineRule="auto"/>
        <w:ind w:firstLine="720"/>
        <w:jc w:val="both"/>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dbt</w:t>
      </w:r>
      <w:proofErr w:type="spellEnd"/>
      <w:proofErr w:type="gramEnd"/>
      <w:r>
        <w:rPr>
          <w:rFonts w:ascii="Times New Roman" w:eastAsia="Times New Roman" w:hAnsi="Times New Roman" w:cs="Times New Roman"/>
          <w:sz w:val="24"/>
          <w:szCs w:val="24"/>
        </w:rPr>
        <w:t xml:space="preserve"> generates aggregated tables, business KPIs, and analytical models optimized for reporting.</w:t>
      </w:r>
    </w:p>
    <w:p w14:paraId="00000055"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20" w:name="_ia2ok9k48o9n" w:colFirst="0" w:colLast="0"/>
      <w:bookmarkEnd w:id="20"/>
      <w:r>
        <w:rPr>
          <w:rFonts w:ascii="Times New Roman" w:eastAsia="Times New Roman" w:hAnsi="Times New Roman" w:cs="Times New Roman"/>
          <w:color w:val="000000"/>
          <w:sz w:val="26"/>
          <w:szCs w:val="26"/>
        </w:rPr>
        <w:t>5.5 AWS S3 Deployment</w:t>
      </w:r>
    </w:p>
    <w:p w14:paraId="00000056" w14:textId="77777777" w:rsidR="002720D8" w:rsidRDefault="00ED2CCA">
      <w:pPr>
        <w:spacing w:line="240" w:lineRule="auto"/>
        <w:ind w:firstLine="720"/>
        <w:jc w:val="both"/>
        <w:rPr>
          <w:rFonts w:ascii="Times New Roman" w:eastAsia="Times New Roman" w:hAnsi="Times New Roman" w:cs="Times New Roman"/>
        </w:rPr>
      </w:pPr>
      <w:r>
        <w:rPr>
          <w:rFonts w:ascii="Times New Roman" w:eastAsia="Times New Roman" w:hAnsi="Times New Roman" w:cs="Times New Roman"/>
          <w:sz w:val="24"/>
          <w:szCs w:val="24"/>
        </w:rPr>
        <w:t>Gold layer outputs are exported to AWS S3 where they are organized for analytics and wider access.</w:t>
      </w:r>
    </w:p>
    <w:p w14:paraId="00000057"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21" w:name="_8ub9wstjnbsf" w:colFirst="0" w:colLast="0"/>
      <w:bookmarkEnd w:id="21"/>
      <w:r>
        <w:rPr>
          <w:rFonts w:ascii="Times New Roman" w:eastAsia="Times New Roman" w:hAnsi="Times New Roman" w:cs="Times New Roman"/>
          <w:color w:val="000000"/>
          <w:sz w:val="32"/>
          <w:szCs w:val="32"/>
        </w:rPr>
        <w:t>6. Results</w:t>
      </w:r>
    </w:p>
    <w:p w14:paraId="00000058"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22" w:name="_wqw7l36hpecn" w:colFirst="0" w:colLast="0"/>
      <w:bookmarkEnd w:id="22"/>
      <w:r>
        <w:rPr>
          <w:rFonts w:ascii="Times New Roman" w:eastAsia="Times New Roman" w:hAnsi="Times New Roman" w:cs="Times New Roman"/>
          <w:color w:val="000000"/>
          <w:sz w:val="26"/>
          <w:szCs w:val="26"/>
        </w:rPr>
        <w:t>6.1 Technical Results</w:t>
      </w:r>
    </w:p>
    <w:p w14:paraId="00000059" w14:textId="77777777" w:rsidR="002720D8" w:rsidRDefault="00ED2CCA">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pipeline automates data loading and Snowflake setup, reducing manual steps and ensuring consistent ingestion.</w:t>
      </w:r>
    </w:p>
    <w:p w14:paraId="0000005A" w14:textId="77777777" w:rsidR="002720D8" w:rsidRDefault="00ED2CCA">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Silver Layer datasets are standardized, </w:t>
      </w:r>
      <w:proofErr w:type="spellStart"/>
      <w:r>
        <w:rPr>
          <w:rFonts w:ascii="Times New Roman" w:eastAsia="Times New Roman" w:hAnsi="Times New Roman" w:cs="Times New Roman"/>
          <w:sz w:val="24"/>
          <w:szCs w:val="24"/>
        </w:rPr>
        <w:t>deduplicated</w:t>
      </w:r>
      <w:proofErr w:type="spellEnd"/>
      <w:r>
        <w:rPr>
          <w:rFonts w:ascii="Times New Roman" w:eastAsia="Times New Roman" w:hAnsi="Times New Roman" w:cs="Times New Roman"/>
          <w:sz w:val="24"/>
          <w:szCs w:val="24"/>
        </w:rPr>
        <w:t>, and quality-checked, providing reliable inputs for analysis.</w:t>
      </w:r>
    </w:p>
    <w:p w14:paraId="0000005B" w14:textId="77777777" w:rsidR="002720D8" w:rsidRDefault="00ED2CCA">
      <w:pPr>
        <w:numPr>
          <w:ilvl w:val="0"/>
          <w:numId w:val="1"/>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Gold Layer delivers curated</w:t>
      </w:r>
      <w:r>
        <w:rPr>
          <w:rFonts w:ascii="Times New Roman" w:eastAsia="Times New Roman" w:hAnsi="Times New Roman" w:cs="Times New Roman"/>
          <w:sz w:val="24"/>
          <w:szCs w:val="24"/>
        </w:rPr>
        <w:t xml:space="preserve"> KPIs and aggregated views that are ready for direct use in reporting and dashboards.</w:t>
      </w:r>
    </w:p>
    <w:p w14:paraId="0000005C" w14:textId="77777777" w:rsidR="002720D8" w:rsidRDefault="00ED2CCA">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overall architecture supports growing data volumes, additional sources, and more complex transformations with ease.</w:t>
      </w:r>
    </w:p>
    <w:p w14:paraId="0000005D" w14:textId="77777777" w:rsidR="002720D8" w:rsidRDefault="002720D8">
      <w:pPr>
        <w:spacing w:line="240" w:lineRule="auto"/>
        <w:jc w:val="both"/>
        <w:rPr>
          <w:rFonts w:ascii="Times New Roman" w:eastAsia="Times New Roman" w:hAnsi="Times New Roman" w:cs="Times New Roman"/>
        </w:rPr>
      </w:pPr>
    </w:p>
    <w:p w14:paraId="0000005E" w14:textId="77777777" w:rsidR="002720D8" w:rsidRDefault="00ED2CCA">
      <w:pPr>
        <w:pStyle w:val="Heading3"/>
        <w:spacing w:line="240" w:lineRule="auto"/>
        <w:jc w:val="both"/>
        <w:rPr>
          <w:rFonts w:ascii="Times New Roman" w:eastAsia="Times New Roman" w:hAnsi="Times New Roman" w:cs="Times New Roman"/>
          <w:color w:val="000000"/>
          <w:sz w:val="26"/>
          <w:szCs w:val="26"/>
        </w:rPr>
      </w:pPr>
      <w:bookmarkStart w:id="23" w:name="_sps5rqkpj116" w:colFirst="0" w:colLast="0"/>
      <w:bookmarkEnd w:id="23"/>
      <w:r>
        <w:rPr>
          <w:rFonts w:ascii="Times New Roman" w:eastAsia="Times New Roman" w:hAnsi="Times New Roman" w:cs="Times New Roman"/>
          <w:color w:val="000000"/>
          <w:sz w:val="26"/>
          <w:szCs w:val="26"/>
        </w:rPr>
        <w:t>6.2 Business Results</w:t>
      </w:r>
    </w:p>
    <w:p w14:paraId="0000005F" w14:textId="77777777" w:rsidR="002720D8" w:rsidRDefault="00ED2CCA">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Consistent cleaning and vali</w:t>
      </w:r>
      <w:r>
        <w:rPr>
          <w:rFonts w:ascii="Times New Roman" w:eastAsia="Times New Roman" w:hAnsi="Times New Roman" w:cs="Times New Roman"/>
          <w:sz w:val="24"/>
          <w:szCs w:val="24"/>
        </w:rPr>
        <w:t>dation increase confidence in the data used across the business.</w:t>
      </w:r>
    </w:p>
    <w:p w14:paraId="00000060" w14:textId="77777777" w:rsidR="002720D8" w:rsidRDefault="00ED2CCA">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Ready-to-use Gold datasets reduce time spent preparing data, enabling quicker insights.</w:t>
      </w:r>
    </w:p>
    <w:p w14:paraId="00000061" w14:textId="77777777" w:rsidR="002720D8" w:rsidRDefault="00ED2CCA">
      <w:pPr>
        <w:numPr>
          <w:ilvl w:val="0"/>
          <w:numId w:val="4"/>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Automation replaces repetitive tasks, freeing teams for higher-value work.</w:t>
      </w:r>
    </w:p>
    <w:p w14:paraId="00000062" w14:textId="77777777" w:rsidR="002720D8" w:rsidRDefault="00ED2CCA">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architecture provides a </w:t>
      </w:r>
      <w:r>
        <w:rPr>
          <w:rFonts w:ascii="Times New Roman" w:eastAsia="Times New Roman" w:hAnsi="Times New Roman" w:cs="Times New Roman"/>
          <w:sz w:val="24"/>
          <w:szCs w:val="24"/>
        </w:rPr>
        <w:t>strong base for expanding data sources, new KPIs, and advanced analytics in the future.</w:t>
      </w:r>
    </w:p>
    <w:p w14:paraId="00000063" w14:textId="77777777" w:rsidR="002720D8" w:rsidRDefault="00ED2CCA">
      <w:pPr>
        <w:pStyle w:val="Heading1"/>
        <w:spacing w:line="240" w:lineRule="auto"/>
        <w:jc w:val="both"/>
        <w:rPr>
          <w:rFonts w:ascii="Times New Roman" w:eastAsia="Times New Roman" w:hAnsi="Times New Roman" w:cs="Times New Roman"/>
          <w:color w:val="000000"/>
          <w:sz w:val="32"/>
          <w:szCs w:val="32"/>
        </w:rPr>
      </w:pPr>
      <w:bookmarkStart w:id="24" w:name="_q7bxj3i5pq3t" w:colFirst="0" w:colLast="0"/>
      <w:bookmarkEnd w:id="24"/>
      <w:r>
        <w:rPr>
          <w:rFonts w:ascii="Times New Roman" w:eastAsia="Times New Roman" w:hAnsi="Times New Roman" w:cs="Times New Roman"/>
          <w:color w:val="000000"/>
          <w:sz w:val="32"/>
          <w:szCs w:val="32"/>
        </w:rPr>
        <w:t>7. Conclusion</w:t>
      </w:r>
    </w:p>
    <w:p w14:paraId="00000064" w14:textId="77777777" w:rsidR="002720D8" w:rsidRDefault="00ED2CCA">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project successfully delivers a scalable and modern data pipeline using the Medallion Architecture, integrating Python, Snowflake,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and AWS S3 to</w:t>
      </w:r>
      <w:r>
        <w:rPr>
          <w:rFonts w:ascii="Times New Roman" w:eastAsia="Times New Roman" w:hAnsi="Times New Roman" w:cs="Times New Roman"/>
          <w:sz w:val="24"/>
          <w:szCs w:val="24"/>
        </w:rPr>
        <w:t xml:space="preserve"> ensure a streamlined, reliable, and high-quality data flow. The layered Bronze, Silver, and Gold structure strengthens data governance and enables consistent transformations from raw ingestion to business-ready outputs.</w:t>
      </w:r>
    </w:p>
    <w:p w14:paraId="00000065" w14:textId="77777777" w:rsidR="002720D8"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ingestion and resource cr</w:t>
      </w:r>
      <w:r>
        <w:rPr>
          <w:rFonts w:ascii="Times New Roman" w:eastAsia="Times New Roman" w:hAnsi="Times New Roman" w:cs="Times New Roman"/>
          <w:sz w:val="24"/>
          <w:szCs w:val="24"/>
        </w:rPr>
        <w:t xml:space="preserve">eation in Snowflake reduce manual effort, while </w:t>
      </w:r>
      <w:proofErr w:type="spellStart"/>
      <w:r>
        <w:rPr>
          <w:rFonts w:ascii="Times New Roman" w:eastAsia="Times New Roman" w:hAnsi="Times New Roman" w:cs="Times New Roman"/>
          <w:sz w:val="24"/>
          <w:szCs w:val="24"/>
        </w:rPr>
        <w:t>dbt</w:t>
      </w:r>
      <w:proofErr w:type="spellEnd"/>
      <w:r>
        <w:rPr>
          <w:rFonts w:ascii="Times New Roman" w:eastAsia="Times New Roman" w:hAnsi="Times New Roman" w:cs="Times New Roman"/>
          <w:sz w:val="24"/>
          <w:szCs w:val="24"/>
        </w:rPr>
        <w:t xml:space="preserve"> provides transparent, repeatable, and well-governed transformations. The final deployment to AWS S3 ensures broad accessibility and supports downstream analytics needs.</w:t>
      </w:r>
    </w:p>
    <w:p w14:paraId="00000066" w14:textId="77777777" w:rsidR="002720D8" w:rsidRDefault="00ED2CCA">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Overall, the solution enhances data</w:t>
      </w:r>
      <w:r>
        <w:rPr>
          <w:rFonts w:ascii="Times New Roman" w:eastAsia="Times New Roman" w:hAnsi="Times New Roman" w:cs="Times New Roman"/>
          <w:sz w:val="24"/>
          <w:szCs w:val="24"/>
        </w:rPr>
        <w:t xml:space="preserve"> accuracy, improves operational efficiency, and creates a strong foundation for future analytical and machine learning initiatives. It equips the organization with trustworthy, timely data to drive informed and effective decision-making.</w:t>
      </w:r>
    </w:p>
    <w:p w14:paraId="00000067" w14:textId="77777777" w:rsidR="002720D8" w:rsidRDefault="002720D8">
      <w:pPr>
        <w:spacing w:line="240" w:lineRule="auto"/>
        <w:jc w:val="both"/>
        <w:rPr>
          <w:rFonts w:ascii="Times New Roman" w:eastAsia="Times New Roman" w:hAnsi="Times New Roman" w:cs="Times New Roman"/>
          <w:sz w:val="24"/>
          <w:szCs w:val="24"/>
        </w:rPr>
      </w:pPr>
    </w:p>
    <w:p w14:paraId="00000068" w14:textId="77777777" w:rsidR="002720D8" w:rsidRDefault="002720D8">
      <w:pPr>
        <w:spacing w:line="240" w:lineRule="auto"/>
        <w:jc w:val="both"/>
        <w:rPr>
          <w:rFonts w:ascii="Times New Roman" w:eastAsia="Times New Roman" w:hAnsi="Times New Roman" w:cs="Times New Roman"/>
        </w:rPr>
      </w:pPr>
    </w:p>
    <w:sectPr w:rsidR="002720D8">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F559EC41-D863-41B2-9602-18159880FCC3}"/>
    <w:embedBold r:id="rId2" w:fontKey="{7635A6EE-6BCD-453F-BF4E-B2FC1636AADC}"/>
  </w:font>
  <w:font w:name="Calibri">
    <w:panose1 w:val="020F0502020204030204"/>
    <w:charset w:val="00"/>
    <w:family w:val="swiss"/>
    <w:pitch w:val="variable"/>
    <w:sig w:usb0="E4002EFF" w:usb1="C000247B" w:usb2="00000009" w:usb3="00000000" w:csb0="000001FF" w:csb1="00000000"/>
    <w:embedRegular r:id="rId3" w:fontKey="{D0E84C27-8278-4B8A-B09F-377CA5422294}"/>
    <w:embedBold r:id="rId4" w:fontKey="{F4E393BF-BEC1-40C0-B6E1-2B0741D7980F}"/>
    <w:embedItalic r:id="rId5" w:fontKey="{BEF5E741-7C39-4D92-9BD1-14B41CE08C07}"/>
    <w:embedBoldItalic r:id="rId6" w:fontKey="{6189EC30-B444-43AC-B510-099629353993}"/>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092988"/>
    <w:multiLevelType w:val="multilevel"/>
    <w:tmpl w:val="E530EA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9C74678"/>
    <w:multiLevelType w:val="multilevel"/>
    <w:tmpl w:val="5ABA0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D711105"/>
    <w:multiLevelType w:val="multilevel"/>
    <w:tmpl w:val="1F0EE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4880878"/>
    <w:multiLevelType w:val="multilevel"/>
    <w:tmpl w:val="47D8B6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20D8"/>
    <w:rsid w:val="002720D8"/>
    <w:rsid w:val="007C27B2"/>
    <w:rsid w:val="00ED2C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EC32D"/>
  <w15:docId w15:val="{3959B8F2-88CC-4CAE-9F8A-D824C9C01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pPr>
      <w:keepNext/>
      <w:keepLines/>
      <w:spacing w:before="200" w:after="0"/>
      <w:outlineLvl w:val="4"/>
    </w:pPr>
    <w:rPr>
      <w:rFonts w:ascii="Calibri" w:eastAsia="Calibri" w:hAnsi="Calibri" w:cs="Calibri"/>
      <w:color w:val="243F61"/>
    </w:rPr>
  </w:style>
  <w:style w:type="paragraph" w:styleId="Heading6">
    <w:name w:val="heading 6"/>
    <w:basedOn w:val="Normal"/>
    <w:next w:val="Normal"/>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rPr>
      <w:rFonts w:ascii="Calibri" w:eastAsia="Calibri" w:hAnsi="Calibri" w:cs="Calibri"/>
      <w:i/>
      <w:iCs/>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6</Pages>
  <Words>1318</Words>
  <Characters>7514</Characters>
  <Application>Microsoft Office Word</Application>
  <DocSecurity>0</DocSecurity>
  <Lines>62</Lines>
  <Paragraphs>17</Paragraphs>
  <ScaleCrop>false</ScaleCrop>
  <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Usman Asghar</cp:lastModifiedBy>
  <cp:revision>3</cp:revision>
  <dcterms:created xsi:type="dcterms:W3CDTF">2025-12-03T09:13:00Z</dcterms:created>
  <dcterms:modified xsi:type="dcterms:W3CDTF">2025-12-03T09:17:00Z</dcterms:modified>
</cp:coreProperties>
</file>